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80" w:lineRule="atLeast"/>
        <w:ind w:left="120" w:right="120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bookmarkStart w:id="0" w:name="_GoBack"/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鉴衡认证中心（CGC）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80" w:lineRule="atLeast"/>
        <w:ind w:left="120" w:right="120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</w:rPr>
        <w:t>1500V系统关键设备检测认证服务</w:t>
      </w:r>
    </w:p>
    <w:bookmarkEnd w:id="0"/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b/>
          <w:bCs/>
          <w:color w:val="1F4E79"/>
          <w:spacing w:val="8"/>
          <w:sz w:val="32"/>
          <w:szCs w:val="32"/>
        </w:rPr>
        <w:br/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b/>
          <w:bCs/>
          <w:color w:val="FFFFFF"/>
          <w:spacing w:val="8"/>
          <w:sz w:val="20"/>
          <w:szCs w:val="20"/>
          <w:shd w:val="clear" w:color="auto" w:fill="407600"/>
        </w:rPr>
        <w:t>▼1500V光伏组件和零部件 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1500V最大系统电压对组件和零部件的耐压都提出了更高的要求。组件方面包括：电气间隙、爬电距离等版型设计，绝缘耐压、脉冲电压等绝缘性能；原材料/零部件方面包括：背板的绝缘厚度，接线盒、连接器的耐压等级等。同时，更高的系统电压增加了组件产生PID缺陷的风险，因此PID测试是有必要的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0"/>
          <w:szCs w:val="20"/>
        </w:rPr>
        <w:br/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认证要求：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适用于最大系统电压不超过1500V的光伏组件。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认证依据：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CGC-R46080 1500V光伏电站关键设备认证实施规则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检测标准：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IEC 61215-1：2016《地面用光伏组件设计鉴定和定型 第1部分：测试要求》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IEC 61215-1-1：2016《地面用光伏组件设计鉴定和定型 第1-1部分：晶体硅组件测试要求》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IEC 61215-2：2016《地面用光伏组件设计鉴定和定型 第2部分：测试程序》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IEC 61730-1：2016《光伏（PV）组件安全鉴定-第1部分：结构要求》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IEC 61730-2：2016《光伏（PV）组件安全鉴定-第2部分：试验要求》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IEC TS 62804-1：2015《光伏组件电势诱导衰减测试方法 第一部分：晶体硅》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IEC 62790：2014《光伏组件用接线盒 安全要求及测试》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IEC 62852：2014《光伏系统直流负载用连接器 安全要求及测试》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br/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FFFFFF"/>
          <w:spacing w:val="8"/>
          <w:sz w:val="18"/>
          <w:szCs w:val="18"/>
          <w:shd w:val="clear" w:color="auto" w:fill="888888"/>
        </w:rPr>
        <w:t> 注 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：采用IEC 61215:2005和IEC 61730-2:2004标准的光伏组件，可在原标准基础上增加1500V最大系统电压电气安全相关测试，如绝缘耐压测试、脉冲电压测试等。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b/>
          <w:bCs/>
          <w:color w:val="FFFFFF"/>
          <w:spacing w:val="8"/>
          <w:sz w:val="20"/>
          <w:szCs w:val="20"/>
          <w:shd w:val="clear" w:color="auto" w:fill="407600"/>
        </w:rPr>
        <w:t>▼1500V光伏并网逆变器 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lastRenderedPageBreak/>
        <w:t>1500V的光伏并网逆变器，需要设备内部关键元器件（熔断器、断路器、电涌保护器等）都要满足1500V的电压要求。对于1500V系统用光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并网逆变器在电气间隙和爬电距离、工频耐受电压、冲击耐受电压方面提出了更高的要求。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br/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认证要求：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连接到PV源电路电压不超过直流1500V，交流输出电压不超过1000V光伏并网逆变器。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认证依据：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CGC-R46080 1500V光伏电站关键设备认证实施规则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检测标准：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NB/T32004-2018《光伏并网逆变器技术规范》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b/>
          <w:bCs/>
          <w:color w:val="FFFFFF"/>
          <w:spacing w:val="8"/>
          <w:sz w:val="20"/>
          <w:szCs w:val="20"/>
          <w:shd w:val="clear" w:color="auto" w:fill="407600"/>
        </w:rPr>
        <w:t>▼1500V</w:t>
      </w:r>
      <w:proofErr w:type="gramStart"/>
      <w:r>
        <w:rPr>
          <w:rFonts w:ascii="Microsoft YaHei UI" w:eastAsia="Microsoft YaHei UI" w:hAnsi="Microsoft YaHei UI" w:hint="eastAsia"/>
          <w:b/>
          <w:bCs/>
          <w:color w:val="FFFFFF"/>
          <w:spacing w:val="8"/>
          <w:sz w:val="20"/>
          <w:szCs w:val="20"/>
          <w:shd w:val="clear" w:color="auto" w:fill="407600"/>
        </w:rPr>
        <w:t>集散式光伏</w:t>
      </w:r>
      <w:proofErr w:type="gramEnd"/>
      <w:r>
        <w:rPr>
          <w:rFonts w:ascii="Microsoft YaHei UI" w:eastAsia="Microsoft YaHei UI" w:hAnsi="Microsoft YaHei UI" w:hint="eastAsia"/>
          <w:b/>
          <w:bCs/>
          <w:color w:val="FFFFFF"/>
          <w:spacing w:val="8"/>
          <w:sz w:val="20"/>
          <w:szCs w:val="20"/>
          <w:shd w:val="clear" w:color="auto" w:fill="407600"/>
        </w:rPr>
        <w:t>并网逆变器 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1500V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集散式光伏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并网逆变器，需要设备内部关键元器件（熔断器、断路器、电涌保护器等）都要满足1500V的电压要求。对于1500V系统用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集散式光伏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并网逆变器在电气间隙和爬电距离、工频耐受电压、冲击耐受电压方面提出了更高的要求。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br/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认证要求：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1500V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集散式光伏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并网逆变器包括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直流不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超过1500V带MPPT功能的汇流箱、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直流不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超过1500V交流不超过1000V的光伏并网逆变器（不带MPPT功能）。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认证依据：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CGC-R46080 1500V光伏电站关键设备认证实施规则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检测标准：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GB/T 34936-2017《光伏发电站汇流箱技术要求》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GB/T 34933-2017《光伏发电站汇流箱检测技术规程》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CGC-R46009附件5太阳能光伏产品认证实施规则（光伏汇流设备）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NB/T 32004-2018《光伏并网逆变器技术规范》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CGC/GF 035：2013《光伏并网逆变器中国效率技术条件》（国家认监委备案号：CNCA/CTS 0002-2014）（可选）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b/>
          <w:bCs/>
          <w:color w:val="FFFFFF"/>
          <w:spacing w:val="8"/>
          <w:sz w:val="20"/>
          <w:szCs w:val="20"/>
          <w:shd w:val="clear" w:color="auto" w:fill="407600"/>
        </w:rPr>
        <w:t>▼1500V光伏汇流设备 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lastRenderedPageBreak/>
        <w:t>1500V的光伏汇流设备，需要设备内部关键元器件（熔断器、断路器、电涌保护器等）都要满足1500V的电压要求。标准中对于1500V的光伏汇流设备在电气间隙和爬电距离、工频耐受电压、冲击耐受电压方面提出了更高的要求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b/>
          <w:bCs/>
          <w:color w:val="333333"/>
          <w:spacing w:val="8"/>
          <w:sz w:val="18"/>
          <w:szCs w:val="18"/>
        </w:rPr>
        <w:br/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认证要求：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适用于最高直流电压不超过1500V且应用于光伏发电系统直流侧的光伏汇流设备。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认证依据：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CGC-R46080 1500V光伏电站关键设备认证实施规则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检测标准：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GB/T 34936-2017《光伏发电站汇流箱技术要求》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GB/T 34933-2017《光伏发电站汇流箱检测技术规程》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CGC-R46009附件5太阳能光伏产品认证实施规则（光伏汇流设备）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b/>
          <w:bCs/>
          <w:color w:val="FFFFFF"/>
          <w:spacing w:val="8"/>
          <w:sz w:val="20"/>
          <w:szCs w:val="20"/>
          <w:shd w:val="clear" w:color="auto" w:fill="407600"/>
        </w:rPr>
        <w:t>▼1500V光</w:t>
      </w:r>
      <w:proofErr w:type="gramStart"/>
      <w:r>
        <w:rPr>
          <w:rFonts w:ascii="Microsoft YaHei UI" w:eastAsia="Microsoft YaHei UI" w:hAnsi="Microsoft YaHei UI" w:hint="eastAsia"/>
          <w:b/>
          <w:bCs/>
          <w:color w:val="FFFFFF"/>
          <w:spacing w:val="8"/>
          <w:sz w:val="20"/>
          <w:szCs w:val="20"/>
          <w:shd w:val="clear" w:color="auto" w:fill="407600"/>
        </w:rPr>
        <w:t>伏系统</w:t>
      </w:r>
      <w:proofErr w:type="gramEnd"/>
      <w:r>
        <w:rPr>
          <w:rFonts w:ascii="Microsoft YaHei UI" w:eastAsia="Microsoft YaHei UI" w:hAnsi="Microsoft YaHei UI" w:hint="eastAsia"/>
          <w:b/>
          <w:bCs/>
          <w:color w:val="FFFFFF"/>
          <w:spacing w:val="8"/>
          <w:sz w:val="20"/>
          <w:szCs w:val="20"/>
          <w:shd w:val="clear" w:color="auto" w:fill="407600"/>
        </w:rPr>
        <w:t>保护用熔断器 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1500V光伏系统对保护用熔断器在熔断体的分断能力、电气间隙和爬电距离方面提出了更高的要求。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br/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认证要求：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伏系统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保护用熔断器，该熔断器的额定电压可至直流1500V。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认证依据：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CGC-R46080 1500V光伏电站关键设备认证实施规则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检测标准：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GB 14048.3-2017《低压开关设备和控制设备 第3部分：开关、隔离器、隔离开关以及熔断器组合电器》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GB/T 13539.6-2013《低压熔断器 第6部分：太阳能光伏系统保护用熔断体的补充要求》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GB 13539.1-2015《低压熔断器 第1部分：基本要求》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b/>
          <w:bCs/>
          <w:color w:val="FFFFFF"/>
          <w:spacing w:val="8"/>
          <w:sz w:val="20"/>
          <w:szCs w:val="20"/>
          <w:shd w:val="clear" w:color="auto" w:fill="407600"/>
        </w:rPr>
        <w:t>▼1500V光</w:t>
      </w:r>
      <w:proofErr w:type="gramStart"/>
      <w:r>
        <w:rPr>
          <w:rFonts w:ascii="Microsoft YaHei UI" w:eastAsia="Microsoft YaHei UI" w:hAnsi="Microsoft YaHei UI" w:hint="eastAsia"/>
          <w:b/>
          <w:bCs/>
          <w:color w:val="FFFFFF"/>
          <w:spacing w:val="8"/>
          <w:sz w:val="20"/>
          <w:szCs w:val="20"/>
          <w:shd w:val="clear" w:color="auto" w:fill="407600"/>
        </w:rPr>
        <w:t>伏系统</w:t>
      </w:r>
      <w:proofErr w:type="gramEnd"/>
      <w:r>
        <w:rPr>
          <w:rFonts w:ascii="Microsoft YaHei UI" w:eastAsia="Microsoft YaHei UI" w:hAnsi="Microsoft YaHei UI" w:hint="eastAsia"/>
          <w:b/>
          <w:bCs/>
          <w:color w:val="FFFFFF"/>
          <w:spacing w:val="8"/>
          <w:sz w:val="20"/>
          <w:szCs w:val="20"/>
          <w:shd w:val="clear" w:color="auto" w:fill="407600"/>
        </w:rPr>
        <w:t>直流侧用电涌保护器（SPD）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对于1500V光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伏系统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直流侧用电涌保护器（SPD）在残流、动作负载试验、电气间隙和爬电距离、介电强度方面提出了更高的要求。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br/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lastRenderedPageBreak/>
        <w:t>认证要求：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安装在光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伏系统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直流侧的SPD，该类SPD用于减少雷电感应或直击雷对光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伏</w:t>
      </w:r>
      <w:proofErr w:type="gramEnd"/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发电设备直流侧的影响。连接到额定电压不超过1500V的光伏发电设备的直流电源回路中。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认证依据：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CGC-R46080 1500V光伏电站关键设备认证实施规则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检测标准：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GB/T18802.31-2016《低压电涌保护器：特殊应用（含直流）的电涌保护器 第31部分：用于光伏系统的电涌保护器（SPD）性能要求和试验方法》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b/>
          <w:bCs/>
          <w:color w:val="FFFFFF"/>
          <w:spacing w:val="8"/>
          <w:sz w:val="20"/>
          <w:szCs w:val="20"/>
          <w:shd w:val="clear" w:color="auto" w:fill="407600"/>
        </w:rPr>
        <w:t>▼1500V低压直流断路器 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对于1500V低压直流断路器在爬电距离及电气间隙，工频耐受电压与冲击耐受电压方面提出了更高的要求。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br/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认证要求：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在光伏发电系统中使用的直流额定电压不高于1500V的低压直流断路器。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认证依据：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CGC-R46080 1500V光伏电站关键设备认证实施规则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检测标准：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GB 14048.1-2012《低压开关设备和控制设备 第1部分：总则》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GB 14048.2-2008《低压开关设备和控制设备 第2部分：断路器》</w:t>
      </w:r>
    </w:p>
    <w:p w:rsidR="00E47D91" w:rsidRDefault="00E47D91" w:rsidP="00E47D91">
      <w:pPr>
        <w:pStyle w:val="a5"/>
        <w:shd w:val="clear" w:color="auto" w:fill="FFFFFF"/>
        <w:spacing w:before="0" w:beforeAutospacing="0" w:after="0" w:afterAutospacing="0" w:line="408" w:lineRule="atLeast"/>
        <w:ind w:left="120" w:right="12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</w:rPr>
        <w:t>CGC-R46045附件3：《光伏系统用低压直流断路器补充技术条件》</w:t>
      </w:r>
    </w:p>
    <w:p w:rsidR="00FE38E7" w:rsidRPr="00E47D91" w:rsidRDefault="00FE38E7">
      <w:pPr>
        <w:rPr>
          <w:rFonts w:hint="eastAsia"/>
        </w:rPr>
      </w:pPr>
    </w:p>
    <w:sectPr w:rsidR="00FE38E7" w:rsidRPr="00E4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62CC"/>
    <w:multiLevelType w:val="multilevel"/>
    <w:tmpl w:val="27B6B7F2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425" w:firstLine="0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DC1"/>
    <w:rsid w:val="002D0DC1"/>
    <w:rsid w:val="002F33D9"/>
    <w:rsid w:val="003C15BA"/>
    <w:rsid w:val="00E47D91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D9"/>
    <w:pPr>
      <w:widowControl w:val="0"/>
      <w:spacing w:line="300" w:lineRule="auto"/>
      <w:jc w:val="both"/>
    </w:pPr>
    <w:rPr>
      <w:sz w:val="24"/>
    </w:rPr>
  </w:style>
  <w:style w:type="paragraph" w:styleId="10">
    <w:name w:val="heading 1"/>
    <w:basedOn w:val="a"/>
    <w:next w:val="a"/>
    <w:link w:val="1Char"/>
    <w:uiPriority w:val="9"/>
    <w:qFormat/>
    <w:rsid w:val="002F33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2F33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rsid w:val="002F33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uiPriority w:val="9"/>
    <w:unhideWhenUsed/>
    <w:qFormat/>
    <w:rsid w:val="002F33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2F33D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33D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目录1"/>
    <w:basedOn w:val="a"/>
    <w:next w:val="a"/>
    <w:qFormat/>
    <w:rsid w:val="002F33D9"/>
    <w:pPr>
      <w:pageBreakBefore/>
      <w:widowControl/>
      <w:numPr>
        <w:numId w:val="16"/>
      </w:numPr>
      <w:jc w:val="left"/>
      <w:outlineLvl w:val="0"/>
    </w:pPr>
    <w:rPr>
      <w:rFonts w:ascii="微软雅黑" w:eastAsia="微软雅黑" w:hAnsi="微软雅黑" w:cs="Times New Roman"/>
      <w:b/>
      <w:kern w:val="0"/>
      <w:sz w:val="36"/>
      <w:szCs w:val="24"/>
      <w:lang w:val="x-none" w:eastAsia="x-none"/>
    </w:rPr>
  </w:style>
  <w:style w:type="paragraph" w:customStyle="1" w:styleId="2">
    <w:name w:val="目录2"/>
    <w:basedOn w:val="a"/>
    <w:next w:val="a"/>
    <w:link w:val="2Char0"/>
    <w:qFormat/>
    <w:rsid w:val="002F33D9"/>
    <w:pPr>
      <w:widowControl/>
      <w:numPr>
        <w:ilvl w:val="1"/>
        <w:numId w:val="16"/>
      </w:numPr>
      <w:jc w:val="left"/>
      <w:outlineLvl w:val="1"/>
    </w:pPr>
    <w:rPr>
      <w:rFonts w:ascii="微软雅黑" w:eastAsia="微软雅黑" w:hAnsi="微软雅黑" w:cs="Times New Roman"/>
      <w:b/>
      <w:kern w:val="0"/>
      <w:sz w:val="32"/>
      <w:szCs w:val="24"/>
      <w:lang w:val="x-none" w:eastAsia="x-none"/>
    </w:rPr>
  </w:style>
  <w:style w:type="character" w:customStyle="1" w:styleId="2Char0">
    <w:name w:val="目录2 Char"/>
    <w:link w:val="2"/>
    <w:rsid w:val="002F33D9"/>
    <w:rPr>
      <w:rFonts w:ascii="微软雅黑" w:eastAsia="微软雅黑" w:hAnsi="微软雅黑" w:cs="Times New Roman"/>
      <w:b/>
      <w:kern w:val="0"/>
      <w:sz w:val="32"/>
      <w:szCs w:val="24"/>
      <w:lang w:val="x-none" w:eastAsia="x-none"/>
    </w:rPr>
  </w:style>
  <w:style w:type="paragraph" w:customStyle="1" w:styleId="3">
    <w:name w:val="目录3"/>
    <w:basedOn w:val="a"/>
    <w:next w:val="a"/>
    <w:qFormat/>
    <w:rsid w:val="002F33D9"/>
    <w:pPr>
      <w:widowControl/>
      <w:numPr>
        <w:ilvl w:val="2"/>
        <w:numId w:val="16"/>
      </w:numPr>
      <w:jc w:val="left"/>
      <w:outlineLvl w:val="2"/>
    </w:pPr>
    <w:rPr>
      <w:rFonts w:ascii="微软雅黑" w:eastAsia="微软雅黑" w:hAnsi="微软雅黑" w:cs="Times New Roman"/>
      <w:b/>
      <w:kern w:val="0"/>
      <w:sz w:val="30"/>
      <w:szCs w:val="24"/>
      <w:lang w:val="x-none" w:eastAsia="x-none"/>
    </w:rPr>
  </w:style>
  <w:style w:type="paragraph" w:customStyle="1" w:styleId="4">
    <w:name w:val="目录4"/>
    <w:basedOn w:val="a"/>
    <w:next w:val="a"/>
    <w:qFormat/>
    <w:rsid w:val="002F33D9"/>
    <w:pPr>
      <w:widowControl/>
      <w:numPr>
        <w:ilvl w:val="3"/>
        <w:numId w:val="16"/>
      </w:numPr>
      <w:jc w:val="left"/>
      <w:outlineLvl w:val="3"/>
    </w:pPr>
    <w:rPr>
      <w:rFonts w:ascii="微软雅黑" w:eastAsia="微软雅黑" w:hAnsi="微软雅黑" w:cs="Times New Roman"/>
      <w:b/>
      <w:kern w:val="0"/>
      <w:sz w:val="28"/>
      <w:szCs w:val="24"/>
      <w:lang w:val="x-none" w:eastAsia="x-none"/>
    </w:rPr>
  </w:style>
  <w:style w:type="character" w:customStyle="1" w:styleId="1Char">
    <w:name w:val="标题 1 Char"/>
    <w:basedOn w:val="a0"/>
    <w:link w:val="10"/>
    <w:uiPriority w:val="9"/>
    <w:rsid w:val="002F33D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rsid w:val="002F33D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0"/>
    <w:uiPriority w:val="9"/>
    <w:rsid w:val="002F33D9"/>
    <w:rPr>
      <w:b/>
      <w:bCs/>
      <w:sz w:val="32"/>
      <w:szCs w:val="32"/>
    </w:rPr>
  </w:style>
  <w:style w:type="character" w:customStyle="1" w:styleId="4Char">
    <w:name w:val="标题 4 Char"/>
    <w:basedOn w:val="a0"/>
    <w:link w:val="40"/>
    <w:uiPriority w:val="9"/>
    <w:rsid w:val="002F33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2F33D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F33D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No Spacing"/>
    <w:uiPriority w:val="1"/>
    <w:qFormat/>
    <w:rsid w:val="002F33D9"/>
    <w:pPr>
      <w:widowControl w:val="0"/>
      <w:jc w:val="both"/>
    </w:pPr>
  </w:style>
  <w:style w:type="paragraph" w:styleId="a4">
    <w:name w:val="List Paragraph"/>
    <w:basedOn w:val="a"/>
    <w:link w:val="Char"/>
    <w:uiPriority w:val="34"/>
    <w:qFormat/>
    <w:rsid w:val="002F33D9"/>
    <w:pPr>
      <w:ind w:firstLineChars="200" w:firstLine="420"/>
    </w:pPr>
    <w:rPr>
      <w:sz w:val="21"/>
    </w:rPr>
  </w:style>
  <w:style w:type="character" w:customStyle="1" w:styleId="Char">
    <w:name w:val="列出段落 Char"/>
    <w:basedOn w:val="a0"/>
    <w:link w:val="a4"/>
    <w:uiPriority w:val="34"/>
    <w:rsid w:val="002F33D9"/>
  </w:style>
  <w:style w:type="paragraph" w:styleId="a5">
    <w:name w:val="Normal (Web)"/>
    <w:basedOn w:val="a"/>
    <w:uiPriority w:val="99"/>
    <w:semiHidden/>
    <w:unhideWhenUsed/>
    <w:rsid w:val="00E47D9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styleId="a6">
    <w:name w:val="Strong"/>
    <w:basedOn w:val="a0"/>
    <w:uiPriority w:val="22"/>
    <w:qFormat/>
    <w:rsid w:val="00E47D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</Words>
  <Characters>2156</Characters>
  <Application>Microsoft Office Word</Application>
  <DocSecurity>0</DocSecurity>
  <Lines>17</Lines>
  <Paragraphs>5</Paragraphs>
  <ScaleCrop>false</ScaleCrop>
  <Company>Microsoft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2019-02-18T05:35:00Z</dcterms:created>
  <dcterms:modified xsi:type="dcterms:W3CDTF">2019-02-18T05:36:00Z</dcterms:modified>
</cp:coreProperties>
</file>